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pmy3cfu8gq4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4pdd9iwokohd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PROTAGONISTA A CASA SANREMO CON HOSPITALITY - IL SALONE DELL’ACCOGLIENZA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rbus6llzjijh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Premiata la Direttrice Generale Alessandra Albarelli per l’impegno nello sviluppo del settore HoReCa. Tra i momenti salienti, la finale della Startup Competition “Future of Music” e un focus sulla formazione AI. L’esperienza conferma il ruolo di Hospitality - Il Salone dell’Accoglienza punto di riferimento per l’innovazione e la crescita del comparto.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ha preso parte alla settimana sanremese del Festival della Canzone Italiana, partecipando agli eventi organizzati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WMF - We Make Future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presso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Casa Sanremo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Un’occasione prestigiosa che ha visto la Direttrice Generale, Alessandra Albarelli, premiata per l'impegno nello sviluppo innovativo e accessibile del settore HoReCa, grazie all’iniziativa Startup For Hospitality.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12 e il 15 febbraio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presso il Palafiori di Sanremo, si sono svolti alcuni degli appuntamenti chiave dedicati alla formazione sull’intelligenza artificiale e all’innovazione nel settore musicale. Di rilievo, la finale della Startup Competition “Future of Music” – Sanremo Edition, che ha premiato le migliori idee imprenditoriali per il futuro dell’industria musicale, sottolineando l’importanza del connubio tra tecnologia e creatività. Durante l’evento, Volumio, tra le startup finaliste, ha ottenuto il pass per la Silicon Valley, dove avrà l’opportunità di presentare il proprio progetto a investitori internazionali. Parallelamente, la formazione sull’intelligenza artificiale ha visto la partecipazione di esperti di alto livello come Alessio Pomaro, Head of AI di Search On Media Group, e Andrea Dragotta, Full Stack Web Developer della stessa azienda, che hanno esplorato il potenziale delle nuove tecnologie per la promozione e la distribuzione musicale.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partecipazione di Riva del Garda Fierecongressi rientra in un percorso più ampio di valorizzazione dell’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innovazione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ospitalità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attraverso progetti che mettono in contatto startup, aziende e professionisti del settore. In questo contesto, il supporto a iniziative come Startup For Hospitality, in collaborazione con WMF - We Make Future, rappresenta un tassello fondamentale per stimolare nuove opportunità di crescita e sviluppo. “Siamo lieti di aver preso parte a questo evento di respiro internazionale, in cui anche l’innovazione è protagonista - ha dichiarato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- Il nostro impegno è rivolto a favorire il progresso del settore Ho.Re.Ca., creando connessioni tra startup e realtà consolidate, per un futuro sempre più sostenibile e digitale”.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xtu5paz2r1d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25 febbraio 2025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